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4" w:rsidRPr="00140435" w:rsidRDefault="001B4FE4" w:rsidP="001B4FE4">
      <w:pPr>
        <w:jc w:val="both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140435">
        <w:rPr>
          <w:rFonts w:ascii="Arial" w:hAnsi="Arial" w:cs="Arial"/>
          <w:color w:val="3A3A3A"/>
          <w:sz w:val="28"/>
          <w:szCs w:val="28"/>
          <w:shd w:val="clear" w:color="auto" w:fill="FFFFFF"/>
        </w:rPr>
        <w:t>l’économie circulaire vise à passer d’une société du tout jetable, basé sur une économie linéaire (extraire, fabriquer, consommer, jeter) vers un modèle économique plus circulaire.</w:t>
      </w:r>
    </w:p>
    <w:p w:rsidR="001B4FE4" w:rsidRDefault="001B4FE4" w:rsidP="001B4FE4">
      <w:pPr>
        <w:jc w:val="both"/>
        <w:rPr>
          <w:sz w:val="28"/>
          <w:szCs w:val="28"/>
        </w:rPr>
      </w:pPr>
      <w:bookmarkStart w:id="0" w:name="_GoBack"/>
      <w:bookmarkEnd w:id="0"/>
    </w:p>
    <w:p w:rsidR="001B4FE4" w:rsidRPr="00140435" w:rsidRDefault="001B4FE4" w:rsidP="001B4FE4">
      <w:pPr>
        <w:jc w:val="both"/>
        <w:rPr>
          <w:sz w:val="28"/>
          <w:szCs w:val="28"/>
        </w:rPr>
      </w:pPr>
      <w:r w:rsidRPr="00140435">
        <w:rPr>
          <w:noProof/>
          <w:sz w:val="28"/>
          <w:szCs w:val="28"/>
          <w:lang w:eastAsia="fr-FR"/>
        </w:rPr>
        <w:drawing>
          <wp:inline distT="0" distB="0" distL="0" distR="0" wp14:anchorId="0C5A18B4" wp14:editId="77726DC8">
            <wp:extent cx="5760720" cy="528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FE4" w:rsidRPr="00140435" w:rsidRDefault="001B4FE4" w:rsidP="001B4FE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8"/>
          <w:szCs w:val="28"/>
        </w:rPr>
      </w:pPr>
      <w:r w:rsidRPr="00140435">
        <w:rPr>
          <w:rFonts w:ascii="Arial" w:hAnsi="Arial" w:cs="Arial"/>
          <w:color w:val="3A3A3A"/>
          <w:sz w:val="28"/>
          <w:szCs w:val="28"/>
        </w:rPr>
        <w:t>Elle nécessite de progresser dans plusieurs domaines.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8" w:tooltip="La productivité des ressources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L'approvisio</w:t>
        </w:r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n</w:t>
        </w:r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nement durable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> : prendre en compte les impacts environnementaux et sociaux des ressources utilisées, en particulier ceux associés à leur extraction et à leur exploitation.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9" w:tooltip="L’éco-conception des produits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L'écoconception</w:t>
        </w:r>
        <w:r w:rsidRPr="00140435">
          <w:rPr>
            <w:rStyle w:val="Lienhypertexte"/>
            <w:rFonts w:ascii="Arial" w:hAnsi="Arial" w:cs="Arial"/>
            <w:sz w:val="28"/>
            <w:szCs w:val="28"/>
          </w:rPr>
          <w:t> 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>: prendre en compte des impacts environnementaux sur l’ensemble du cycle de vie d’un produit et les intégrer dès sa conception.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10" w:tooltip="L'écologie industrielle et territoriale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L’écologie industrielle et territoriale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 xml:space="preserve"> : mettre en synergie et mutualiser entre plusieurs acteurs économiques les flux de matières, d’énergie, </w:t>
      </w:r>
      <w:r w:rsidRPr="00140435">
        <w:rPr>
          <w:rFonts w:ascii="Arial" w:hAnsi="Arial" w:cs="Arial"/>
          <w:color w:val="3A3A3A"/>
          <w:sz w:val="28"/>
          <w:szCs w:val="28"/>
        </w:rPr>
        <w:lastRenderedPageBreak/>
        <w:t>d’eau, les infrastructures, les biens ou encore les services afin d’optimiser l’utilisation des ressources sur un territoire.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11" w:tooltip="L'économie de la fonctionnalité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L’économie de la fonctionnalité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> : privilégier l’usage à la possession, vendre un service plutôt qu’un bien.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12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La consommation responsable</w:t>
        </w:r>
      </w:hyperlink>
      <w:r w:rsidRPr="00140435">
        <w:rPr>
          <w:rStyle w:val="lev"/>
          <w:rFonts w:ascii="Arial" w:hAnsi="Arial" w:cs="Arial"/>
          <w:color w:val="3A3A3A"/>
          <w:sz w:val="28"/>
          <w:szCs w:val="28"/>
        </w:rPr>
        <w:t> </w:t>
      </w:r>
      <w:r w:rsidRPr="00140435">
        <w:rPr>
          <w:rFonts w:ascii="Arial" w:hAnsi="Arial" w:cs="Arial"/>
          <w:color w:val="3A3A3A"/>
          <w:sz w:val="28"/>
          <w:szCs w:val="28"/>
        </w:rPr>
        <w:t>: prendre en compte les impacts environnementaux et sociaux à toutes les étapes du cycle de vie du produit dans les choix d’achat, que l’acheteur soit public ou privé.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hyperlink r:id="rId13" w:tooltip="Durée de vie des produits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L’allongement de la durée d’usage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> des produits par le recours à la réparation, à la vente ou à l’achat d’occasion, par le don, dans le cadre du réemploi et de la réutilisation.</w:t>
      </w:r>
    </w:p>
    <w:p w:rsidR="001B4FE4" w:rsidRPr="00140435" w:rsidRDefault="001B4FE4" w:rsidP="001B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A3A3A"/>
          <w:sz w:val="28"/>
          <w:szCs w:val="28"/>
        </w:rPr>
      </w:pPr>
      <w:r w:rsidRPr="00140435">
        <w:rPr>
          <w:rStyle w:val="lev"/>
          <w:rFonts w:ascii="Arial" w:hAnsi="Arial" w:cs="Arial"/>
          <w:color w:val="3A3A3A"/>
          <w:sz w:val="28"/>
          <w:szCs w:val="28"/>
        </w:rPr>
        <w:t>L’amélioration de </w:t>
      </w:r>
      <w:hyperlink r:id="rId14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la prévention</w:t>
        </w:r>
      </w:hyperlink>
      <w:r w:rsidRPr="00140435">
        <w:rPr>
          <w:rStyle w:val="lev"/>
          <w:rFonts w:ascii="Arial" w:hAnsi="Arial" w:cs="Arial"/>
          <w:color w:val="3A3A3A"/>
          <w:sz w:val="28"/>
          <w:szCs w:val="28"/>
        </w:rPr>
        <w:t>, de </w:t>
      </w:r>
      <w:hyperlink r:id="rId15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la gestion</w:t>
        </w:r>
      </w:hyperlink>
      <w:r w:rsidRPr="00140435">
        <w:rPr>
          <w:rStyle w:val="lev"/>
          <w:rFonts w:ascii="Arial" w:hAnsi="Arial" w:cs="Arial"/>
          <w:color w:val="3A3A3A"/>
          <w:sz w:val="28"/>
          <w:szCs w:val="28"/>
        </w:rPr>
        <w:t> et </w:t>
      </w:r>
      <w:hyperlink r:id="rId16" w:history="1">
        <w:r w:rsidRPr="00140435">
          <w:rPr>
            <w:rStyle w:val="lev"/>
            <w:rFonts w:ascii="Arial" w:hAnsi="Arial" w:cs="Arial"/>
            <w:color w:val="0000FF"/>
            <w:sz w:val="28"/>
            <w:szCs w:val="28"/>
            <w:u w:val="single"/>
          </w:rPr>
          <w:t>du recyclage des déchets</w:t>
        </w:r>
      </w:hyperlink>
      <w:r w:rsidRPr="00140435">
        <w:rPr>
          <w:rFonts w:ascii="Arial" w:hAnsi="Arial" w:cs="Arial"/>
          <w:color w:val="3A3A3A"/>
          <w:sz w:val="28"/>
          <w:szCs w:val="28"/>
        </w:rPr>
        <w:t>, y compris en réinjectant et réutilisant les matières issues des déchets dans le cycle économique.</w:t>
      </w:r>
    </w:p>
    <w:p w:rsidR="001B4FE4" w:rsidRPr="00140435" w:rsidRDefault="001B4FE4" w:rsidP="001B4FE4">
      <w:pPr>
        <w:jc w:val="both"/>
        <w:rPr>
          <w:sz w:val="28"/>
          <w:szCs w:val="28"/>
        </w:rPr>
      </w:pPr>
      <w:r w:rsidRPr="00140435">
        <w:rPr>
          <w:sz w:val="28"/>
          <w:szCs w:val="28"/>
        </w:rPr>
        <w:t>Source : Ministère des Territoires Ecologie Logement</w:t>
      </w:r>
    </w:p>
    <w:p w:rsidR="00703355" w:rsidRDefault="001B4FE4"/>
    <w:sectPr w:rsidR="0070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E4" w:rsidRDefault="001B4FE4" w:rsidP="001B4FE4">
      <w:pPr>
        <w:spacing w:after="0" w:line="240" w:lineRule="auto"/>
      </w:pPr>
      <w:r>
        <w:separator/>
      </w:r>
    </w:p>
  </w:endnote>
  <w:endnote w:type="continuationSeparator" w:id="0">
    <w:p w:rsidR="001B4FE4" w:rsidRDefault="001B4FE4" w:rsidP="001B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E4" w:rsidRDefault="001B4FE4" w:rsidP="001B4FE4">
      <w:pPr>
        <w:spacing w:after="0" w:line="240" w:lineRule="auto"/>
      </w:pPr>
      <w:r>
        <w:separator/>
      </w:r>
    </w:p>
  </w:footnote>
  <w:footnote w:type="continuationSeparator" w:id="0">
    <w:p w:rsidR="001B4FE4" w:rsidRDefault="001B4FE4" w:rsidP="001B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0A1D"/>
    <w:multiLevelType w:val="multilevel"/>
    <w:tmpl w:val="3C3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E4"/>
    <w:rsid w:val="001B4FE4"/>
    <w:rsid w:val="00360DD5"/>
    <w:rsid w:val="007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91EC"/>
  <w15:chartTrackingRefBased/>
  <w15:docId w15:val="{E0694D19-9A62-403D-9A5B-BC30F46F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4FE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1B4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FE4"/>
  </w:style>
  <w:style w:type="paragraph" w:styleId="Pieddepage">
    <w:name w:val="footer"/>
    <w:basedOn w:val="Normal"/>
    <w:link w:val="PieddepageCar"/>
    <w:uiPriority w:val="99"/>
    <w:unhideWhenUsed/>
    <w:rsid w:val="001B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ogie.gouv.fr/politiques-publiques/productivite-ressources" TargetMode="External"/><Relationship Id="rId13" Type="http://schemas.openxmlformats.org/officeDocument/2006/relationships/hyperlink" Target="https://www.ecologie.gouv.fr/politiques-publiques/duree-vie-produi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cologie.gouv.fr/politiques/consommation-et-production-responsab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cologie.gouv.fr/politiques/filieres-recycla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logie.gouv.fr/politiques-publiques/leconomie-fonctionnali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ologie.gouv.fr/politiques/gestion-des-dechets" TargetMode="External"/><Relationship Id="rId10" Type="http://schemas.openxmlformats.org/officeDocument/2006/relationships/hyperlink" Target="https://www.ecologie.gouv.fr/politiques-publiques/lecologie-industrielle-territori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logie.gouv.fr/politiques-publiques/leco-conception-produits" TargetMode="External"/><Relationship Id="rId14" Type="http://schemas.openxmlformats.org/officeDocument/2006/relationships/hyperlink" Target="https://www.ecologie.gouv.fr/politiques/prevention-des-deche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HENAFF Sophie</dc:creator>
  <cp:keywords/>
  <dc:description/>
  <cp:lastModifiedBy>LE HENAFF Sophie</cp:lastModifiedBy>
  <cp:revision>1</cp:revision>
  <dcterms:created xsi:type="dcterms:W3CDTF">2024-12-03T10:16:00Z</dcterms:created>
  <dcterms:modified xsi:type="dcterms:W3CDTF">2024-12-03T10:18:00Z</dcterms:modified>
</cp:coreProperties>
</file>